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24D" w:rsidRDefault="00C2624D" w:rsidP="00B4056A">
      <w:pPr>
        <w:spacing w:after="0"/>
        <w:jc w:val="center"/>
      </w:pPr>
    </w:p>
    <w:p w:rsidR="00C2624D" w:rsidRDefault="00C2624D" w:rsidP="00B4056A">
      <w:pPr>
        <w:spacing w:after="0"/>
        <w:jc w:val="center"/>
      </w:pPr>
    </w:p>
    <w:p w:rsidR="00C2624D" w:rsidRDefault="00C2624D" w:rsidP="00B4056A">
      <w:pPr>
        <w:spacing w:after="0"/>
        <w:jc w:val="center"/>
      </w:pPr>
    </w:p>
    <w:p w:rsidR="00C2624D" w:rsidRDefault="00C2624D" w:rsidP="00B4056A">
      <w:pPr>
        <w:spacing w:after="0"/>
        <w:jc w:val="center"/>
      </w:pPr>
    </w:p>
    <w:p w:rsidR="00C2624D" w:rsidRDefault="00C2624D" w:rsidP="00B4056A">
      <w:pPr>
        <w:spacing w:after="0"/>
        <w:jc w:val="center"/>
      </w:pPr>
    </w:p>
    <w:p w:rsidR="00C2624D" w:rsidRDefault="00C2624D" w:rsidP="00B4056A">
      <w:pPr>
        <w:spacing w:after="0"/>
        <w:jc w:val="center"/>
      </w:pPr>
    </w:p>
    <w:p w:rsidR="00C2624D" w:rsidRDefault="00B4056A" w:rsidP="00B4056A">
      <w:pPr>
        <w:spacing w:after="0"/>
        <w:jc w:val="center"/>
      </w:pPr>
      <w:bookmarkStart w:id="0" w:name="_GoBack"/>
      <w:r>
        <w:t>Question 1 and 2 Mid-Term Exam</w:t>
      </w:r>
    </w:p>
    <w:bookmarkEnd w:id="0"/>
    <w:p w:rsidR="00C2624D" w:rsidRDefault="00C2624D" w:rsidP="00B4056A">
      <w:pPr>
        <w:spacing w:after="0"/>
        <w:jc w:val="center"/>
      </w:pPr>
      <w:r>
        <w:t>Student’s Name</w:t>
      </w:r>
    </w:p>
    <w:p w:rsidR="00C2624D" w:rsidRDefault="00C2624D" w:rsidP="00B4056A">
      <w:pPr>
        <w:spacing w:after="0"/>
        <w:jc w:val="center"/>
      </w:pPr>
      <w:r>
        <w:t>Institution</w:t>
      </w:r>
    </w:p>
    <w:p w:rsidR="00C2624D" w:rsidRDefault="00C2624D" w:rsidP="00B4056A">
      <w:pPr>
        <w:spacing w:after="0"/>
        <w:jc w:val="center"/>
      </w:pPr>
      <w:r>
        <w:t>Date</w:t>
      </w:r>
    </w:p>
    <w:p w:rsidR="00C2624D" w:rsidRDefault="00C2624D" w:rsidP="00B4056A">
      <w:pPr>
        <w:spacing w:after="0"/>
      </w:pPr>
      <w:r>
        <w:br w:type="page"/>
      </w:r>
    </w:p>
    <w:p w:rsidR="00B4056A" w:rsidRPr="00B4056A" w:rsidRDefault="00B4056A" w:rsidP="00B4056A">
      <w:pPr>
        <w:spacing w:after="0"/>
        <w:jc w:val="center"/>
        <w:rPr>
          <w:b/>
        </w:rPr>
      </w:pPr>
      <w:r w:rsidRPr="00B4056A">
        <w:rPr>
          <w:b/>
        </w:rPr>
        <w:lastRenderedPageBreak/>
        <w:t>Mid-Term Question 1</w:t>
      </w:r>
    </w:p>
    <w:p w:rsidR="00B4056A" w:rsidRDefault="00B4056A" w:rsidP="00B4056A">
      <w:pPr>
        <w:spacing w:after="0"/>
        <w:ind w:firstLine="720"/>
      </w:pPr>
      <w:r>
        <w:t>The ideas of the Enlightenment played a significant role in inspiring the French revolution that commenced in 1789. It stressed the rights of common men contrary to the exclusive rights of the select few (Israel, 2019). Besides, Enlightenment championed the idea of new forms of government and the pursuit of happiness and freedom. The idea of wanting people to make their own choices and not being controlled by the government inspired the French revolution.</w:t>
      </w:r>
    </w:p>
    <w:p w:rsidR="00B4056A" w:rsidRDefault="00B4056A" w:rsidP="00B4056A">
      <w:pPr>
        <w:spacing w:after="0"/>
        <w:ind w:firstLine="720"/>
      </w:pPr>
      <w:r>
        <w:t>Also, the Enlightenment ideas such as freedom of speech, equality, freedom of the press, and religious tolerance influenced some of the American Revolution leaders. Colonists of America did not enjoy the aforesaid rights, which compelled them to rebel against England for sovereignty. The Enlightenment ideas of natural rights and equality of every citizen played a crucial role in sparking the revolution.</w:t>
      </w:r>
    </w:p>
    <w:p w:rsidR="00B4056A" w:rsidRDefault="00B4056A" w:rsidP="00B4056A">
      <w:pPr>
        <w:spacing w:after="0"/>
        <w:ind w:firstLine="720"/>
      </w:pPr>
      <w:r>
        <w:t xml:space="preserve">Additionally, the Enlightenment ideas of championing freedom and ensuring equality of all citizens inspired the Haiti revolution. This was depicted in the successful slave revolt that took place in Haiti. Slaves felt that their rights to proper living standards, freedom, and equality were abused (Johnson, 2020). Hence they marshalled themselves and opted to rebel against their persecutors. This resulted in mayhem within Haiti, leading to the revolution. From the various instances of revolution, Enlightenment ideas played a critical role in influencing people to partake the revolutions.  </w:t>
      </w:r>
    </w:p>
    <w:p w:rsidR="00C2624D" w:rsidRPr="00B4056A" w:rsidRDefault="00B4056A" w:rsidP="00B4056A">
      <w:pPr>
        <w:spacing w:after="0"/>
        <w:jc w:val="center"/>
        <w:rPr>
          <w:b/>
        </w:rPr>
      </w:pPr>
      <w:r w:rsidRPr="00B4056A">
        <w:rPr>
          <w:b/>
        </w:rPr>
        <w:t>Mid-Term Question 2</w:t>
      </w:r>
    </w:p>
    <w:p w:rsidR="00B4056A" w:rsidRDefault="009B18C9" w:rsidP="00B4056A">
      <w:pPr>
        <w:spacing w:after="0"/>
        <w:ind w:firstLine="720"/>
      </w:pPr>
      <w:r w:rsidRPr="009B18C9">
        <w:t xml:space="preserve">The Columbian exchange refers to the extensive transference of plants, animals, culture, human populations, technology, diseases as well as ideas between West Africa, the Americas, and the Old World during the 15th and 16th centuries (Benson, 2019). It led to the massive </w:t>
      </w:r>
      <w:r w:rsidRPr="009B18C9">
        <w:lastRenderedPageBreak/>
        <w:t xml:space="preserve">transfer of wealth from America to other continents like Europe. The Columbian exchange led to a significant long-term global impact. Foremost, it brought forth diseases that depopulated several cultures. The transfer of animals from the Americas to other regions like Europe and West Africa led to increases in new diseases that killed many animals. </w:t>
      </w:r>
    </w:p>
    <w:p w:rsidR="00C2624D" w:rsidRDefault="009B18C9" w:rsidP="00B4056A">
      <w:pPr>
        <w:spacing w:after="0"/>
        <w:ind w:firstLine="720"/>
      </w:pPr>
      <w:r w:rsidRPr="009B18C9">
        <w:t>The transfer of wealth – animals and crops – increased the circulation of a wide variety of new animals and crops that exceedingly amplified. Moreover, the Columbian exchange transformed the way of life of various regions like Europe, Africa, America, and Asia (</w:t>
      </w:r>
      <w:proofErr w:type="spellStart"/>
      <w:r w:rsidRPr="009B18C9">
        <w:t>Frankema</w:t>
      </w:r>
      <w:proofErr w:type="spellEnd"/>
      <w:r w:rsidRPr="009B18C9">
        <w:t>, 2019). New foods were introduced to different continents, and people chose their staple foods from the wide variety of foods they had never seen before. For instance, potatoes used not to be grown outside of South America before AD 1000. Currently, it has been grown in various continents. Furthermore, new beliefs became introduced in other continents. The colonists of African countries introduced Christianity and education that has been highly revered by Africans to date.</w:t>
      </w:r>
    </w:p>
    <w:p w:rsidR="00B4056A" w:rsidRDefault="00B4056A" w:rsidP="00B4056A">
      <w:pPr>
        <w:spacing w:after="0"/>
        <w:rPr>
          <w:b/>
        </w:rPr>
      </w:pPr>
      <w:r>
        <w:rPr>
          <w:b/>
        </w:rPr>
        <w:br w:type="page"/>
      </w:r>
    </w:p>
    <w:p w:rsidR="00C2624D" w:rsidRPr="00B4056A" w:rsidRDefault="00C2624D" w:rsidP="00B4056A">
      <w:pPr>
        <w:spacing w:after="0"/>
        <w:jc w:val="center"/>
        <w:rPr>
          <w:b/>
        </w:rPr>
      </w:pPr>
      <w:r w:rsidRPr="00B4056A">
        <w:rPr>
          <w:b/>
        </w:rPr>
        <w:lastRenderedPageBreak/>
        <w:t>References</w:t>
      </w:r>
    </w:p>
    <w:p w:rsidR="00C2624D" w:rsidRPr="00C2624D" w:rsidRDefault="00C2624D" w:rsidP="00B4056A">
      <w:pPr>
        <w:spacing w:after="0"/>
        <w:ind w:left="720" w:hanging="720"/>
        <w:rPr>
          <w:rFonts w:eastAsia="Times New Roman" w:cs="Times New Roman"/>
          <w:szCs w:val="24"/>
        </w:rPr>
      </w:pPr>
      <w:r w:rsidRPr="00C2624D">
        <w:rPr>
          <w:rFonts w:eastAsia="Times New Roman" w:cs="Times New Roman"/>
          <w:szCs w:val="24"/>
        </w:rPr>
        <w:t xml:space="preserve">Benson, A. (2019). </w:t>
      </w:r>
      <w:r w:rsidRPr="00C2624D">
        <w:rPr>
          <w:rFonts w:eastAsia="Times New Roman" w:cs="Times New Roman"/>
          <w:i/>
          <w:iCs/>
          <w:szCs w:val="24"/>
        </w:rPr>
        <w:t>Great Exit Projects on the Columbian Exchange</w:t>
      </w:r>
      <w:r w:rsidRPr="00C2624D">
        <w:rPr>
          <w:rFonts w:eastAsia="Times New Roman" w:cs="Times New Roman"/>
          <w:szCs w:val="24"/>
        </w:rPr>
        <w:t>. The Rosen Publishing Group, Inc.</w:t>
      </w:r>
    </w:p>
    <w:p w:rsidR="00B4056A" w:rsidRDefault="00C2624D" w:rsidP="00B4056A">
      <w:pPr>
        <w:spacing w:after="0"/>
        <w:ind w:left="720" w:hanging="720"/>
        <w:rPr>
          <w:rFonts w:eastAsia="Times New Roman" w:cs="Times New Roman"/>
          <w:szCs w:val="24"/>
        </w:rPr>
      </w:pPr>
      <w:proofErr w:type="spellStart"/>
      <w:r w:rsidRPr="00C2624D">
        <w:rPr>
          <w:rFonts w:eastAsia="Times New Roman" w:cs="Times New Roman"/>
          <w:szCs w:val="24"/>
        </w:rPr>
        <w:t>Frankema</w:t>
      </w:r>
      <w:proofErr w:type="spellEnd"/>
      <w:r w:rsidRPr="00C2624D">
        <w:rPr>
          <w:rFonts w:eastAsia="Times New Roman" w:cs="Times New Roman"/>
          <w:szCs w:val="24"/>
        </w:rPr>
        <w:t xml:space="preserve">, E. (2019). Africa and the Demographic Consequences of the Columbian Exchange. </w:t>
      </w:r>
      <w:r w:rsidRPr="00C2624D">
        <w:rPr>
          <w:rFonts w:eastAsia="Times New Roman" w:cs="Times New Roman"/>
          <w:i/>
          <w:iCs/>
          <w:szCs w:val="24"/>
        </w:rPr>
        <w:t>Asian Review of World Histories</w:t>
      </w:r>
      <w:r w:rsidRPr="00C2624D">
        <w:rPr>
          <w:rFonts w:eastAsia="Times New Roman" w:cs="Times New Roman"/>
          <w:szCs w:val="24"/>
        </w:rPr>
        <w:t xml:space="preserve">, </w:t>
      </w:r>
      <w:r w:rsidRPr="00C2624D">
        <w:rPr>
          <w:rFonts w:eastAsia="Times New Roman" w:cs="Times New Roman"/>
          <w:i/>
          <w:iCs/>
          <w:szCs w:val="24"/>
        </w:rPr>
        <w:t>7</w:t>
      </w:r>
      <w:r w:rsidRPr="00C2624D">
        <w:rPr>
          <w:rFonts w:eastAsia="Times New Roman" w:cs="Times New Roman"/>
          <w:szCs w:val="24"/>
        </w:rPr>
        <w:t>(1-2), 66-79.</w:t>
      </w:r>
      <w:r w:rsidR="00B4056A" w:rsidRPr="00B4056A">
        <w:rPr>
          <w:rFonts w:eastAsia="Times New Roman" w:cs="Times New Roman"/>
          <w:szCs w:val="24"/>
        </w:rPr>
        <w:t xml:space="preserve"> </w:t>
      </w:r>
    </w:p>
    <w:p w:rsidR="00B4056A" w:rsidRPr="00DF3C23" w:rsidRDefault="00B4056A" w:rsidP="00B4056A">
      <w:pPr>
        <w:spacing w:after="0"/>
        <w:ind w:left="720" w:hanging="720"/>
        <w:rPr>
          <w:rFonts w:eastAsia="Times New Roman" w:cs="Times New Roman"/>
          <w:szCs w:val="24"/>
        </w:rPr>
      </w:pPr>
      <w:r w:rsidRPr="00DF3C23">
        <w:rPr>
          <w:rFonts w:eastAsia="Times New Roman" w:cs="Times New Roman"/>
          <w:szCs w:val="24"/>
        </w:rPr>
        <w:t xml:space="preserve">Israel, J. I. (2019). </w:t>
      </w:r>
      <w:r w:rsidRPr="00DF3C23">
        <w:rPr>
          <w:rFonts w:eastAsia="Times New Roman" w:cs="Times New Roman"/>
          <w:i/>
          <w:iCs/>
          <w:szCs w:val="24"/>
        </w:rPr>
        <w:t>The Enlightenment that Failed: Ideas, Revolution, and Democratic Defeat, 1748-1830</w:t>
      </w:r>
      <w:r w:rsidRPr="00DF3C23">
        <w:rPr>
          <w:rFonts w:eastAsia="Times New Roman" w:cs="Times New Roman"/>
          <w:szCs w:val="24"/>
        </w:rPr>
        <w:t>. Oxford University Press.</w:t>
      </w:r>
    </w:p>
    <w:p w:rsidR="00B4056A" w:rsidRPr="00DF3C23" w:rsidRDefault="00B4056A" w:rsidP="00B4056A">
      <w:pPr>
        <w:spacing w:after="0"/>
        <w:ind w:left="720" w:hanging="720"/>
        <w:rPr>
          <w:rFonts w:eastAsia="Times New Roman" w:cs="Times New Roman"/>
          <w:szCs w:val="24"/>
        </w:rPr>
      </w:pPr>
      <w:r w:rsidRPr="00DF3C23">
        <w:rPr>
          <w:rFonts w:eastAsia="Times New Roman" w:cs="Times New Roman"/>
          <w:szCs w:val="24"/>
        </w:rPr>
        <w:t xml:space="preserve">Johnson, R. A. (2020). </w:t>
      </w:r>
      <w:r w:rsidRPr="00DF3C23">
        <w:rPr>
          <w:rFonts w:eastAsia="Times New Roman" w:cs="Times New Roman"/>
          <w:szCs w:val="24"/>
        </w:rPr>
        <w:t>Natural rights: Haitian–American diplomacy in the age of Atlantic revolutions</w:t>
      </w:r>
      <w:r w:rsidRPr="00DF3C23">
        <w:rPr>
          <w:rFonts w:eastAsia="Times New Roman" w:cs="Times New Roman"/>
          <w:szCs w:val="24"/>
        </w:rPr>
        <w:t xml:space="preserve">. </w:t>
      </w:r>
      <w:r w:rsidRPr="00DF3C23">
        <w:rPr>
          <w:rFonts w:eastAsia="Times New Roman" w:cs="Times New Roman"/>
          <w:i/>
          <w:iCs/>
          <w:szCs w:val="24"/>
        </w:rPr>
        <w:t>A Companion to US Foreign Relations: Colonial Era to the Present</w:t>
      </w:r>
      <w:r w:rsidRPr="00DF3C23">
        <w:rPr>
          <w:rFonts w:eastAsia="Times New Roman" w:cs="Times New Roman"/>
          <w:szCs w:val="24"/>
        </w:rPr>
        <w:t>, 93-112.</w:t>
      </w:r>
    </w:p>
    <w:p w:rsidR="00C2624D" w:rsidRPr="00C2624D" w:rsidRDefault="00C2624D" w:rsidP="00B4056A">
      <w:pPr>
        <w:spacing w:after="0"/>
        <w:ind w:left="720" w:hanging="720"/>
        <w:rPr>
          <w:rFonts w:eastAsia="Times New Roman" w:cs="Times New Roman"/>
          <w:szCs w:val="24"/>
        </w:rPr>
      </w:pPr>
    </w:p>
    <w:p w:rsidR="00C2624D" w:rsidRDefault="00C2624D" w:rsidP="00B4056A">
      <w:pPr>
        <w:spacing w:after="0"/>
        <w:ind w:left="720" w:hanging="720"/>
      </w:pPr>
    </w:p>
    <w:p w:rsidR="00C2624D" w:rsidRDefault="00C2624D" w:rsidP="00B4056A">
      <w:pPr>
        <w:spacing w:after="0"/>
        <w:jc w:val="center"/>
      </w:pPr>
    </w:p>
    <w:p w:rsidR="00C2624D" w:rsidRPr="00C2624D" w:rsidRDefault="00C2624D" w:rsidP="00B4056A">
      <w:pPr>
        <w:spacing w:after="0"/>
        <w:jc w:val="center"/>
      </w:pPr>
    </w:p>
    <w:sectPr w:rsidR="00C2624D" w:rsidRPr="00C2624D" w:rsidSect="00C262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C32" w:rsidRDefault="00130C32" w:rsidP="00C2624D">
      <w:pPr>
        <w:spacing w:after="0" w:line="240" w:lineRule="auto"/>
      </w:pPr>
      <w:r>
        <w:separator/>
      </w:r>
    </w:p>
  </w:endnote>
  <w:endnote w:type="continuationSeparator" w:id="0">
    <w:p w:rsidR="00130C32" w:rsidRDefault="00130C32" w:rsidP="00C26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C32" w:rsidRDefault="00130C32" w:rsidP="00C2624D">
      <w:pPr>
        <w:spacing w:after="0" w:line="240" w:lineRule="auto"/>
      </w:pPr>
      <w:r>
        <w:separator/>
      </w:r>
    </w:p>
  </w:footnote>
  <w:footnote w:type="continuationSeparator" w:id="0">
    <w:p w:rsidR="00130C32" w:rsidRDefault="00130C32" w:rsidP="00C26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6437359"/>
      <w:docPartObj>
        <w:docPartGallery w:val="Page Numbers (Top of Page)"/>
        <w:docPartUnique/>
      </w:docPartObj>
    </w:sdtPr>
    <w:sdtEndPr>
      <w:rPr>
        <w:noProof/>
      </w:rPr>
    </w:sdtEndPr>
    <w:sdtContent>
      <w:p w:rsidR="00C2624D" w:rsidRDefault="00C2624D">
        <w:pPr>
          <w:pStyle w:val="Header"/>
          <w:jc w:val="right"/>
        </w:pPr>
        <w:r>
          <w:t>ASSIGNMENT</w:t>
        </w:r>
        <w:r>
          <w:tab/>
        </w:r>
        <w:r>
          <w:tab/>
        </w:r>
        <w:r>
          <w:fldChar w:fldCharType="begin"/>
        </w:r>
        <w:r>
          <w:instrText xml:space="preserve"> PAGE   \* MERGEFORMAT </w:instrText>
        </w:r>
        <w:r>
          <w:fldChar w:fldCharType="separate"/>
        </w:r>
        <w:r w:rsidR="00B4056A">
          <w:rPr>
            <w:noProof/>
          </w:rPr>
          <w:t>2</w:t>
        </w:r>
        <w:r>
          <w:rPr>
            <w:noProof/>
          </w:rPr>
          <w:fldChar w:fldCharType="end"/>
        </w:r>
      </w:p>
    </w:sdtContent>
  </w:sdt>
  <w:p w:rsidR="00C2624D" w:rsidRDefault="00C2624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24D" w:rsidRDefault="00C2624D">
    <w:pPr>
      <w:pStyle w:val="Header"/>
    </w:pPr>
    <w:r>
      <w:t>Running Head: ASSIGNMENT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E14"/>
    <w:rsid w:val="00130C32"/>
    <w:rsid w:val="00643E14"/>
    <w:rsid w:val="00663C8C"/>
    <w:rsid w:val="00942084"/>
    <w:rsid w:val="009B18C9"/>
    <w:rsid w:val="00B35F5D"/>
    <w:rsid w:val="00B4056A"/>
    <w:rsid w:val="00C2624D"/>
    <w:rsid w:val="00D573A5"/>
    <w:rsid w:val="00E0523E"/>
    <w:rsid w:val="00E43EE4"/>
    <w:rsid w:val="00EE1D72"/>
    <w:rsid w:val="00F67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C8FE0"/>
  <w15:chartTrackingRefBased/>
  <w15:docId w15:val="{7EDFF3E7-4E4D-457F-A806-17764539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4D"/>
    <w:rPr>
      <w:rFonts w:ascii="Times New Roman" w:hAnsi="Times New Roman"/>
      <w:sz w:val="24"/>
    </w:rPr>
  </w:style>
  <w:style w:type="paragraph" w:styleId="Footer">
    <w:name w:val="footer"/>
    <w:basedOn w:val="Normal"/>
    <w:link w:val="FooterChar"/>
    <w:uiPriority w:val="99"/>
    <w:unhideWhenUsed/>
    <w:rsid w:val="00C26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24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230084">
      <w:bodyDiv w:val="1"/>
      <w:marLeft w:val="0"/>
      <w:marRight w:val="0"/>
      <w:marTop w:val="0"/>
      <w:marBottom w:val="0"/>
      <w:divBdr>
        <w:top w:val="none" w:sz="0" w:space="0" w:color="auto"/>
        <w:left w:val="none" w:sz="0" w:space="0" w:color="auto"/>
        <w:bottom w:val="none" w:sz="0" w:space="0" w:color="auto"/>
        <w:right w:val="none" w:sz="0" w:space="0" w:color="auto"/>
      </w:divBdr>
      <w:divsChild>
        <w:div w:id="585921828">
          <w:marLeft w:val="0"/>
          <w:marRight w:val="0"/>
          <w:marTop w:val="0"/>
          <w:marBottom w:val="0"/>
          <w:divBdr>
            <w:top w:val="none" w:sz="0" w:space="0" w:color="auto"/>
            <w:left w:val="none" w:sz="0" w:space="0" w:color="auto"/>
            <w:bottom w:val="none" w:sz="0" w:space="0" w:color="auto"/>
            <w:right w:val="none" w:sz="0" w:space="0" w:color="auto"/>
          </w:divBdr>
        </w:div>
      </w:divsChild>
    </w:div>
    <w:div w:id="1769354327">
      <w:bodyDiv w:val="1"/>
      <w:marLeft w:val="0"/>
      <w:marRight w:val="0"/>
      <w:marTop w:val="0"/>
      <w:marBottom w:val="0"/>
      <w:divBdr>
        <w:top w:val="none" w:sz="0" w:space="0" w:color="auto"/>
        <w:left w:val="none" w:sz="0" w:space="0" w:color="auto"/>
        <w:bottom w:val="none" w:sz="0" w:space="0" w:color="auto"/>
        <w:right w:val="none" w:sz="0" w:space="0" w:color="auto"/>
      </w:divBdr>
      <w:divsChild>
        <w:div w:id="1018386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2020-10-13T14:17:00Z</dcterms:created>
  <dcterms:modified xsi:type="dcterms:W3CDTF">2020-10-13T14:17:00Z</dcterms:modified>
</cp:coreProperties>
</file>